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Matematik</w:t>
      </w:r>
    </w:p>
    <w:p>
      <w:pPr>
        <w:jc w:val="center"/>
      </w:pPr>
      <w:r>
        <w:rPr>
          <w:b/>
          <w:color w:val="4A5A64"/>
          <w:sz w:val="20"/>
        </w:rPr>
        <w:t>1.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Öğrenme çıktısı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Rakamları ve 20’ye kadar olan sayıları (20 dâhil), niceliklerin büyüklüklerini temsil etmek için kullanabilme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Ögeleri dağınık veya düzenli bir şekilde bulunan bir nesne grubunu sayarken parçalar arasında ilişkileri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Nesnelerin sıra sayısını gösterebilme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İki niceliğin büyüklüğünü “çok”, “daha çok”, “az”, “daha az” veya “eşit” terimleriyle karşılaştırabilme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100’e kadar ileriye ve 20’den geriye doğru ritmik sayabilme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Artan veya azalan sayı ve şekil örüntülerini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Verilen bir çokluktaki ilişkilerden yararlanarak 20’ye kadar (20 dâhil) olan nesnelerin sayısını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olmayan uygun ölçme araçları ile nesnelerin uzunluğunu ve tartacağı kütlenin ölçüm sonuçlarını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MAT.1.1.9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Paraların (1 TL, 5 TL, 10 TL, 20 TL, 50 TL, 100 TL ve 200 TL) temsil ettiği büyüklükleri tanıyabilme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Günlük yaşamın içerdiği toplama ve çıkarma işlemlerini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işlemlerinin sonuçlarını tahminde bulunarak ve zihinden işlem yaparak muhakeme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Eşit işaretinin anlamını toplama ve çıkarma işlemi bağlamında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işlemlerinin ilişkisini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Hedefe ulaşmak için mesafeleri ve yönleri içeren yönergeleri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Nesnelerin eşliğini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Günlük yaşamdaki nesneleri biçimsel özelliklerine göre ayırt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Günlük yaşamda karşılaşılan geometrik yapılardaki geometrik şekilleri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Biçimsel özelliklerine göre geometrik şekilleri sınıflandırabilme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MAT.1.4.1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Kategorik veriye dayalı temel veri grubu ile çalışabilme ve veriye dayalı karar verebilme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1.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