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14. Hafta</w:t>
      </w:r>
    </w:p>
    <w:p>
      <w:pPr>
        <w:jc w:val="center"/>
      </w:pPr>
      <w:r>
        <w:rPr>
          <w:b/>
          <w:color w:val="4A5A64"/>
          <w:sz w:val="20"/>
        </w:rPr>
        <w:t>2. Sınıf · 21–25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14. hafta (21–25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Okuma Serüvenimiz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T.O.2.1 · T.O.2.2 · T.O.2.3 · T.O.2.4 · T.Y.2.1 · T.Y.2.2 · T.Y.2.3 · T.Y.2.5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Varlıkların Adları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 / İşlemlerden Cebirsel Düşünmeye</w:t>
      </w:r>
      <w:r>
        <w:rPr>
          <w:b w:val="0"/>
        </w:rPr>
        <w:t xml:space="preserve"> — Sayılar / Toplama ve Çıkarma İşlemleriyle İlgili Problemler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MAT.2.1.6 · MAT.2.2.1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Onarlı Grupla ve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Problemi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İşlem Gerekir?</w:t>
              <w:br/>
              <w:t>• Çöz ve Kontrol 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Ailenin Önemi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Sıra Bende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Sofra Hazırlığı</w:t>
              <w:br/>
              <w:t>• Aileme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Birlikte İş Kararı</w:t>
              <w:br/>
              <w:t>• İş Sırası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  <w:br/>
              <w:t>BEO.2.2.1: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