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Rehberlik Faaliyet Raporu — Mart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1 Mart 2027 – 2 Nisan 2027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22. – 25. hafta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Sınıf Rehber Öğretmeni: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Rehberlik çalışmaları üç alanda raporlanır: akademik, kişisel-sosyal ve kariyer gelişimi. Etkinlikler okulun yıllık rehberlik ve psikolojik danışma programına göre yürütülür; bu form o çalışmaların kaydıdır.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Akademik Gelişim</w:t>
      </w:r>
    </w:p>
    <w:p>
      <w:r>
        <w:rPr>
          <w:b w:val="0"/>
        </w:rPr>
        <w:t>Çalışma alışkanlığı, derse katılım, okuma-yazma gelişimi, destek çalışmaları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Kişisel-Sosyal Gelişim</w:t>
      </w:r>
    </w:p>
    <w:p>
      <w:r>
        <w:rPr>
          <w:b w:val="0"/>
        </w:rPr>
        <w:t>Uyum, arkadaşlık ilişkileri, duygu düzenleme, kurallara uyma, akran zorbalığı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Kariyer Gelişimi</w:t>
      </w:r>
    </w:p>
    <w:p>
      <w:r>
        <w:rPr>
          <w:b w:val="0"/>
        </w:rPr>
        <w:t>Meslekleri tanıma, ilgi ve yetenek farkındalığı, sorumluluk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14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çalışma / etkinlik</w:t>
            </w:r>
          </w:p>
        </w:tc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Katılan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gözlem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4143"/>
          </w:tcPr>
          <w:p>
            <w:r/>
          </w:p>
        </w:tc>
        <w:tc>
          <w:tcPr>
            <w:tcW w:type="dxa" w:w="1381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Bu Ayın Rehberlikle İlgili Günleri</w:t>
      </w:r>
    </w:p>
    <w:p>
      <w:pPr>
        <w:pStyle w:val="ListBullet"/>
      </w:pPr>
      <w:r>
        <w:rPr>
          <w:b w:val="0"/>
        </w:rPr>
        <w:t>Yeşilay Haftası (1–5 Mart) — bağımlılıkla mücadele</w:t>
      </w:r>
    </w:p>
    <w:p>
      <w:pPr>
        <w:pStyle w:val="ListBullet"/>
      </w:pPr>
      <w:r>
        <w:rPr>
          <w:b w:val="0"/>
        </w:rPr>
        <w:t>Dünya Otizm Farkındalık Günü (2 Nisan)</w:t>
      </w:r>
    </w:p>
    <w:p>
      <w:pPr>
        <w:spacing w:before="160"/>
      </w:pPr>
      <w:r>
        <w:rPr>
          <w:b/>
          <w:color w:val="0F766E"/>
          <w:sz w:val="25"/>
        </w:rPr>
        <w:t>Bireysel Görüşmeler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Öğrenci (ad-soyad yazılmaz, sıra no)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Konu</w:t>
            </w:r>
          </w:p>
        </w:tc>
        <w:tc>
          <w:tcPr>
            <w:tcW w:type="dxa" w:w="295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Yapılan yönlendirme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959"/>
          </w:tcPr>
          <w:p>
            <w:r/>
          </w:p>
        </w:tc>
        <w:tc>
          <w:tcPr>
            <w:tcW w:type="dxa" w:w="2959"/>
          </w:tcPr>
          <w:p>
            <w:r/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Görüşme kayıtlarında kişisel veri en aza indirilir; ayrıntı öğrenci dosyasında saklanır (KVKK).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Veli Görüşmeleri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157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434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Görüşme konusu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 / alınan karar</w:t>
            </w:r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  <w:tr>
        <w:tc>
          <w:tcPr>
            <w:tcW w:type="dxa" w:w="1578"/>
          </w:tcPr>
          <w:p>
            <w:r/>
          </w:p>
        </w:tc>
        <w:tc>
          <w:tcPr>
            <w:tcW w:type="dxa" w:w="4340"/>
          </w:tcPr>
          <w:p>
            <w:r/>
          </w:p>
        </w:tc>
        <w:tc>
          <w:tcPr>
            <w:tcW w:type="dxa" w:w="3946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Rehberlik Servisine / RAM'a Yönlendirilenler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Yönlendirme sebebi</w:t>
            </w:r>
          </w:p>
        </w:tc>
        <w:tc>
          <w:tcPr>
            <w:tcW w:type="dxa" w:w="236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Yönlendirilen birim</w:t>
            </w:r>
          </w:p>
        </w:tc>
        <w:tc>
          <w:tcPr>
            <w:tcW w:type="dxa" w:w="217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Durum</w:t>
            </w:r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  <w:tr>
        <w:tc>
          <w:tcPr>
            <w:tcW w:type="dxa" w:w="1381"/>
          </w:tcPr>
          <w:p>
            <w:r/>
          </w:p>
        </w:tc>
        <w:tc>
          <w:tcPr>
            <w:tcW w:type="dxa" w:w="3946"/>
          </w:tcPr>
          <w:p>
            <w:r/>
          </w:p>
        </w:tc>
        <w:tc>
          <w:tcPr>
            <w:tcW w:type="dxa" w:w="2367"/>
          </w:tcPr>
          <w:p>
            <w:r/>
          </w:p>
        </w:tc>
        <w:tc>
          <w:tcPr>
            <w:tcW w:type="dxa" w:w="217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Genel Değerlendirme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Rehber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Rehber Öğretmen / Psikolojik Danışman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Rehberlik Faaliyet Raporu — Mart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