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Kitaplığı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 · …… / …… Sınıfı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Kitabın Adı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Yazar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Tür (hikâye / masal / bilgi / şiir)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</w:tbl>
    <w:p/>
    <w:p>
      <w:r>
        <w:br w:type="page"/>
      </w:r>
    </w:p>
    <w:p>
      <w:pPr>
        <w:jc w:val="center"/>
      </w:pPr>
      <w:r>
        <w:rPr>
          <w:b/>
          <w:color w:val="0A5650"/>
          <w:sz w:val="32"/>
        </w:rPr>
        <w:t>Kitap Ödünç Takip Çizelgesi</w:t>
      </w:r>
    </w:p>
    <w:p>
      <w:pPr>
        <w:jc w:val="center"/>
      </w:pPr>
      <w:r>
        <w:rPr>
          <w:b/>
          <w:color w:val="4A5A64"/>
          <w:sz w:val="20"/>
        </w:rPr>
        <w:t>Alan öğrenci – tarih – iade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Kitap No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Kitabın Adı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Alan Öğrenci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Alış Tarihi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İade Tarihi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İmza</w:t>
            </w:r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Ödünç süresi bir haftadır. Kitap kaybolursa aynı ya da eş değer bir kitap getirilir. Kitaplık sorumlusu öğrenci haftada bir sayım yapar.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Kitaplığı Listesi ve Ödünç Takip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