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Bdr>
          <w:bottom w:val="single" w:sz="12" w:color="0F766E"/>
        </w:pBdr>
      </w:pPr>
      <w:r>
        <w:rPr>
          <w:b/>
          <w:color w:val="0F766E"/>
          <w:sz w:val="22"/>
        </w:rPr>
        <w:t>Ders Pusulası</w:t>
      </w:r>
      <w:r>
        <w:rPr>
          <w:color w:val="4A5A64"/>
          <w:sz w:val="18"/>
        </w:rPr>
        <w:t xml:space="preserve">    2026-2027 Eğitim-Öğretim Yılı</w:t>
      </w:r>
    </w:p>
    <w:p>
      <w:pPr>
        <w:jc w:val="center"/>
      </w:pPr>
      <w:r>
        <w:rPr>
          <w:b/>
          <w:color w:val="0A5650"/>
          <w:sz w:val="32"/>
        </w:rPr>
        <w:t>Türk Bayrağı</w:t>
      </w:r>
    </w:p>
    <w:p>
      <w:pPr>
        <w:jc w:val="center"/>
      </w:pPr>
      <w:r>
        <w:rPr>
          <w:b/>
          <w:color w:val="4A5A64"/>
          <w:sz w:val="20"/>
        </w:rPr>
        <w:t>2893 sayılı Türk Bayrağı Kanunu (22 Eylül 1983)</w:t>
      </w:r>
    </w:p>
    <w:p>
      <w:pPr>
        <w:jc w:val="center"/>
      </w:pPr>
      <w:r>
        <w:drawing>
          <wp:inline xmlns:a="http://schemas.openxmlformats.org/drawingml/2006/main" xmlns:pic="http://schemas.openxmlformats.org/drawingml/2006/picture">
            <wp:extent cx="5400000" cy="3611921"/>
            <wp:docPr id="1" name="Picture 1"/>
            <wp:cNvGraphicFramePr>
              <a:graphicFrameLocks noChangeAspect="1"/>
            </wp:cNvGraphicFramePr>
            <a:graphic>
              <a:graphicData uri="http://schemas.openxmlformats.org/drawingml/2006/picture">
                <pic:pic>
                  <pic:nvPicPr>
                    <pic:cNvPr id="0" name="turk-bayragi.png"/>
                    <pic:cNvPicPr/>
                  </pic:nvPicPr>
                  <pic:blipFill>
                    <a:blip r:embed="rId9"/>
                    <a:stretch>
                      <a:fillRect/>
                    </a:stretch>
                  </pic:blipFill>
                  <pic:spPr>
                    <a:xfrm>
                      <a:off x="0" y="0"/>
                      <a:ext cx="5400000" cy="3611921"/>
                    </a:xfrm>
                    <a:prstGeom prst="rect"/>
                  </pic:spPr>
                </pic:pic>
              </a:graphicData>
            </a:graphic>
          </wp:inline>
        </w:drawing>
      </w:r>
    </w:p>
    <w:p>
      <w:r>
        <w:rPr>
          <w:b/>
        </w:rPr>
        <w:t>Madde 2 —</w:t>
      </w:r>
      <w:r>
        <w:rPr>
          <w:b w:val="0"/>
        </w:rPr>
        <w:t xml:space="preserve"> Türk Bayrağı, bu Kanuna ekli cetvelde gösterilen şekil ve oranlarda olmak kaydıyla beyaz ay-yıldızlı albayraktır.</w:t>
      </w:r>
    </w:p>
    <w:p>
      <w:pPr>
        <w:spacing w:before="160"/>
      </w:pPr>
      <w:r>
        <w:rPr>
          <w:b/>
          <w:color w:val="0F766E"/>
          <w:sz w:val="25"/>
        </w:rPr>
        <w:t>Kanuna Ekli Ölçü Cetveli</w:t>
      </w:r>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3289"/>
        <w:gridCol w:w="3289"/>
        <w:gridCol w:w="3289"/>
      </w:tblGrid>
      <w:tr>
        <w:tc>
          <w:tcPr>
            <w:tcW w:type="dxa" w:w="986"/>
            <w:shd w:val="clear" w:color="auto" w:fill="E6F2F0"/>
          </w:tcPr>
          <w:p>
            <w:r/>
            <w:r>
              <w:rPr>
                <w:b/>
                <w:color w:val="0A5650"/>
                <w:sz w:val="19"/>
              </w:rPr>
              <w:t>Harf</w:t>
            </w:r>
          </w:p>
        </w:tc>
        <w:tc>
          <w:tcPr>
            <w:tcW w:type="dxa" w:w="6708"/>
            <w:shd w:val="clear" w:color="auto" w:fill="E6F2F0"/>
          </w:tcPr>
          <w:p>
            <w:r/>
            <w:r>
              <w:rPr>
                <w:b/>
                <w:color w:val="0A5650"/>
                <w:sz w:val="19"/>
              </w:rPr>
              <w:t>Ölçü</w:t>
            </w:r>
          </w:p>
        </w:tc>
        <w:tc>
          <w:tcPr>
            <w:tcW w:type="dxa" w:w="2170"/>
            <w:shd w:val="clear" w:color="auto" w:fill="E6F2F0"/>
          </w:tcPr>
          <w:p>
            <w:r/>
            <w:r>
              <w:rPr>
                <w:b/>
                <w:color w:val="0A5650"/>
                <w:sz w:val="19"/>
              </w:rPr>
              <w:t>Oran</w:t>
            </w:r>
          </w:p>
        </w:tc>
      </w:tr>
      <w:tr>
        <w:tc>
          <w:tcPr>
            <w:tcW w:type="dxa" w:w="986"/>
          </w:tcPr>
          <w:p>
            <w:r/>
            <w:r>
              <w:rPr>
                <w:b w:val="0"/>
                <w:sz w:val="19"/>
              </w:rPr>
              <w:t>G</w:t>
            </w:r>
          </w:p>
        </w:tc>
        <w:tc>
          <w:tcPr>
            <w:tcW w:type="dxa" w:w="6708"/>
          </w:tcPr>
          <w:p>
            <w:r/>
            <w:r>
              <w:rPr>
                <w:b w:val="0"/>
                <w:sz w:val="19"/>
              </w:rPr>
              <w:t>Genişlik</w:t>
            </w:r>
          </w:p>
        </w:tc>
        <w:tc>
          <w:tcPr>
            <w:tcW w:type="dxa" w:w="2170"/>
          </w:tcPr>
          <w:p>
            <w:r/>
            <w:r>
              <w:rPr>
                <w:b w:val="0"/>
                <w:sz w:val="19"/>
              </w:rPr>
              <w:t>—</w:t>
            </w:r>
          </w:p>
        </w:tc>
      </w:tr>
      <w:tr>
        <w:tc>
          <w:tcPr>
            <w:tcW w:type="dxa" w:w="986"/>
          </w:tcPr>
          <w:p>
            <w:r/>
            <w:r>
              <w:rPr>
                <w:b w:val="0"/>
                <w:sz w:val="19"/>
              </w:rPr>
              <w:t>A</w:t>
            </w:r>
          </w:p>
        </w:tc>
        <w:tc>
          <w:tcPr>
            <w:tcW w:type="dxa" w:w="6708"/>
          </w:tcPr>
          <w:p>
            <w:r/>
            <w:r>
              <w:rPr>
                <w:b w:val="0"/>
                <w:sz w:val="19"/>
              </w:rPr>
              <w:t>Dış ay merkezinin uçkurluktan mesafesi</w:t>
            </w:r>
          </w:p>
        </w:tc>
        <w:tc>
          <w:tcPr>
            <w:tcW w:type="dxa" w:w="2170"/>
          </w:tcPr>
          <w:p>
            <w:r/>
            <w:r>
              <w:rPr>
                <w:b w:val="0"/>
                <w:sz w:val="19"/>
              </w:rPr>
              <w:t>1/2 G</w:t>
            </w:r>
          </w:p>
        </w:tc>
      </w:tr>
      <w:tr>
        <w:tc>
          <w:tcPr>
            <w:tcW w:type="dxa" w:w="986"/>
          </w:tcPr>
          <w:p>
            <w:r/>
            <w:r>
              <w:rPr>
                <w:b w:val="0"/>
                <w:sz w:val="19"/>
              </w:rPr>
              <w:t>B</w:t>
            </w:r>
          </w:p>
        </w:tc>
        <w:tc>
          <w:tcPr>
            <w:tcW w:type="dxa" w:w="6708"/>
          </w:tcPr>
          <w:p>
            <w:r/>
            <w:r>
              <w:rPr>
                <w:b w:val="0"/>
                <w:sz w:val="19"/>
              </w:rPr>
              <w:t>Ayın dış dairesi kutru (çapı)</w:t>
            </w:r>
          </w:p>
        </w:tc>
        <w:tc>
          <w:tcPr>
            <w:tcW w:type="dxa" w:w="2170"/>
          </w:tcPr>
          <w:p>
            <w:r/>
            <w:r>
              <w:rPr>
                <w:b w:val="0"/>
                <w:sz w:val="19"/>
              </w:rPr>
              <w:t>1/2 G</w:t>
            </w:r>
          </w:p>
        </w:tc>
      </w:tr>
      <w:tr>
        <w:tc>
          <w:tcPr>
            <w:tcW w:type="dxa" w:w="986"/>
          </w:tcPr>
          <w:p>
            <w:r/>
            <w:r>
              <w:rPr>
                <w:b w:val="0"/>
                <w:sz w:val="19"/>
              </w:rPr>
              <w:t>C</w:t>
            </w:r>
          </w:p>
        </w:tc>
        <w:tc>
          <w:tcPr>
            <w:tcW w:type="dxa" w:w="6708"/>
          </w:tcPr>
          <w:p>
            <w:r/>
            <w:r>
              <w:rPr>
                <w:b w:val="0"/>
                <w:sz w:val="19"/>
              </w:rPr>
              <w:t>Ayın iç ve dış merkezleri arası</w:t>
            </w:r>
          </w:p>
        </w:tc>
        <w:tc>
          <w:tcPr>
            <w:tcW w:type="dxa" w:w="2170"/>
          </w:tcPr>
          <w:p>
            <w:r/>
            <w:r>
              <w:rPr>
                <w:b w:val="0"/>
                <w:sz w:val="19"/>
              </w:rPr>
              <w:t>1/16 G</w:t>
            </w:r>
          </w:p>
        </w:tc>
      </w:tr>
      <w:tr>
        <w:tc>
          <w:tcPr>
            <w:tcW w:type="dxa" w:w="986"/>
          </w:tcPr>
          <w:p>
            <w:r/>
            <w:r>
              <w:rPr>
                <w:b w:val="0"/>
                <w:sz w:val="19"/>
              </w:rPr>
              <w:t>D</w:t>
            </w:r>
          </w:p>
        </w:tc>
        <w:tc>
          <w:tcPr>
            <w:tcW w:type="dxa" w:w="6708"/>
          </w:tcPr>
          <w:p>
            <w:r/>
            <w:r>
              <w:rPr>
                <w:b w:val="0"/>
                <w:sz w:val="19"/>
              </w:rPr>
              <w:t>Ayın iç dairesinin kutru (çapı)</w:t>
            </w:r>
          </w:p>
        </w:tc>
        <w:tc>
          <w:tcPr>
            <w:tcW w:type="dxa" w:w="2170"/>
          </w:tcPr>
          <w:p>
            <w:r/>
            <w:r>
              <w:rPr>
                <w:b w:val="0"/>
                <w:sz w:val="19"/>
              </w:rPr>
              <w:t>2/5 G</w:t>
            </w:r>
          </w:p>
        </w:tc>
      </w:tr>
      <w:tr>
        <w:tc>
          <w:tcPr>
            <w:tcW w:type="dxa" w:w="986"/>
          </w:tcPr>
          <w:p>
            <w:r/>
            <w:r>
              <w:rPr>
                <w:b w:val="0"/>
                <w:sz w:val="19"/>
              </w:rPr>
              <w:t>E</w:t>
            </w:r>
          </w:p>
        </w:tc>
        <w:tc>
          <w:tcPr>
            <w:tcW w:type="dxa" w:w="6708"/>
          </w:tcPr>
          <w:p>
            <w:r/>
            <w:r>
              <w:rPr>
                <w:b w:val="0"/>
                <w:sz w:val="19"/>
              </w:rPr>
              <w:t>Yıldız dairesinin ayın iç dairesinden olan mesafesi</w:t>
            </w:r>
          </w:p>
        </w:tc>
        <w:tc>
          <w:tcPr>
            <w:tcW w:type="dxa" w:w="2170"/>
          </w:tcPr>
          <w:p>
            <w:r/>
            <w:r>
              <w:rPr>
                <w:b w:val="0"/>
                <w:sz w:val="19"/>
              </w:rPr>
              <w:t>1/3 G</w:t>
            </w:r>
          </w:p>
        </w:tc>
      </w:tr>
      <w:tr>
        <w:tc>
          <w:tcPr>
            <w:tcW w:type="dxa" w:w="986"/>
          </w:tcPr>
          <w:p>
            <w:r/>
            <w:r>
              <w:rPr>
                <w:b w:val="0"/>
                <w:sz w:val="19"/>
              </w:rPr>
              <w:t>F</w:t>
            </w:r>
          </w:p>
        </w:tc>
        <w:tc>
          <w:tcPr>
            <w:tcW w:type="dxa" w:w="6708"/>
          </w:tcPr>
          <w:p>
            <w:r/>
            <w:r>
              <w:rPr>
                <w:b w:val="0"/>
                <w:sz w:val="19"/>
              </w:rPr>
              <w:t>Yıldız dairesi kutru (çapı)</w:t>
            </w:r>
          </w:p>
        </w:tc>
        <w:tc>
          <w:tcPr>
            <w:tcW w:type="dxa" w:w="2170"/>
          </w:tcPr>
          <w:p>
            <w:r/>
            <w:r>
              <w:rPr>
                <w:b w:val="0"/>
                <w:sz w:val="19"/>
              </w:rPr>
              <w:t>1/4 G</w:t>
            </w:r>
          </w:p>
        </w:tc>
      </w:tr>
      <w:tr>
        <w:tc>
          <w:tcPr>
            <w:tcW w:type="dxa" w:w="986"/>
          </w:tcPr>
          <w:p>
            <w:r/>
            <w:r>
              <w:rPr>
                <w:b w:val="0"/>
                <w:sz w:val="19"/>
              </w:rPr>
              <w:t>L</w:t>
            </w:r>
          </w:p>
        </w:tc>
        <w:tc>
          <w:tcPr>
            <w:tcW w:type="dxa" w:w="6708"/>
          </w:tcPr>
          <w:p>
            <w:r/>
            <w:r>
              <w:rPr>
                <w:b w:val="0"/>
                <w:sz w:val="19"/>
              </w:rPr>
              <w:t>Boy</w:t>
            </w:r>
          </w:p>
        </w:tc>
        <w:tc>
          <w:tcPr>
            <w:tcW w:type="dxa" w:w="2170"/>
          </w:tcPr>
          <w:p>
            <w:r/>
            <w:r>
              <w:rPr>
                <w:b w:val="0"/>
                <w:sz w:val="19"/>
              </w:rPr>
              <w:t>1 1/2 G</w:t>
            </w:r>
          </w:p>
        </w:tc>
      </w:tr>
      <w:tr>
        <w:tc>
          <w:tcPr>
            <w:tcW w:type="dxa" w:w="986"/>
          </w:tcPr>
          <w:p>
            <w:r/>
            <w:r>
              <w:rPr>
                <w:b w:val="0"/>
                <w:sz w:val="19"/>
              </w:rPr>
              <w:t>M</w:t>
            </w:r>
          </w:p>
        </w:tc>
        <w:tc>
          <w:tcPr>
            <w:tcW w:type="dxa" w:w="6708"/>
          </w:tcPr>
          <w:p>
            <w:r/>
            <w:r>
              <w:rPr>
                <w:b w:val="0"/>
                <w:sz w:val="19"/>
              </w:rPr>
              <w:t>Uçkurluk genişliği</w:t>
            </w:r>
          </w:p>
        </w:tc>
        <w:tc>
          <w:tcPr>
            <w:tcW w:type="dxa" w:w="2170"/>
          </w:tcPr>
          <w:p>
            <w:r/>
            <w:r>
              <w:rPr>
                <w:b w:val="0"/>
                <w:sz w:val="19"/>
              </w:rPr>
              <w:t>1/30 G</w:t>
            </w:r>
          </w:p>
        </w:tc>
      </w:tr>
    </w:tbl>
    <w:p/>
    <w:p>
      <w:r>
        <w:rPr>
          <w:b w:val="0"/>
        </w:rPr>
        <w:t>Bayrak genişliği ne olursa olsun (G) emsali değişmez.</w:t>
      </w:r>
    </w:p>
    <w:p>
      <w:pPr>
        <w:spacing w:before="160"/>
      </w:pPr>
      <w:r>
        <w:rPr>
          <w:b/>
          <w:color w:val="0F766E"/>
          <w:sz w:val="25"/>
        </w:rPr>
        <w:t>Bayrağa Saygı (Kanundan)</w:t>
      </w:r>
    </w:p>
    <w:p>
      <w:pPr>
        <w:pStyle w:val="ListBullet"/>
      </w:pPr>
      <w:r>
        <w:rPr>
          <w:b/>
        </w:rPr>
        <w:t>Madde 4 —</w:t>
      </w:r>
      <w:r>
        <w:rPr>
          <w:b w:val="0"/>
        </w:rPr>
        <w:t xml:space="preserve"> Türk Bayrağı, yas alameti olarak 10 Kasım'da yarıya çekilir. Yas alameti olmak üzere Bayrağın yarıya çekileceği diğer haller ve zamanı Cumhurbaşkanlığınca ilan edilir.</w:t>
      </w:r>
    </w:p>
    <w:p>
      <w:pPr>
        <w:pStyle w:val="ListBullet"/>
      </w:pPr>
      <w:r>
        <w:rPr>
          <w:b/>
        </w:rPr>
        <w:t>Madde 5 —</w:t>
      </w:r>
      <w:r>
        <w:rPr>
          <w:b w:val="0"/>
        </w:rPr>
        <w:t xml:space="preserve"> Çekilmesi ve indirilmesi esnasında veya tören geçişlerinde Bayrak, cephe alınarak selâmlanır.</w:t>
      </w:r>
    </w:p>
    <w:p>
      <w:pPr>
        <w:pStyle w:val="ListBullet"/>
      </w:pPr>
      <w:r>
        <w:rPr>
          <w:b/>
        </w:rPr>
        <w:t>Madde 7 —</w:t>
      </w:r>
      <w:r>
        <w:rPr>
          <w:b w:val="0"/>
        </w:rPr>
        <w:t xml:space="preserve"> Türk Bayrağı, yırtık, sökük, yamalı, delik, kirli, soluk, buruşuk veya layık olduğu manevi değeri zedeleyecek herhangi bir şekilde kullanılamaz. Resmî yemin törenleri dışında her ne maksatla olursa olsun, masalara, kürsülere örtü olarak serilemez.</w:t>
      </w:r>
    </w:p>
    <w:tbl>
      <w:tblPr>
        <w:tblW w:type="auto" w:w="0"/>
        <w:tblLook w:firstColumn="1" w:firstRow="1" w:lastColumn="0" w:lastRow="0" w:noHBand="0" w:noVBand="1" w:val="04A0"/>
      </w:tblPr>
      <w:tblGrid>
        <w:gridCol w:w="9866"/>
      </w:tblGrid>
      <w:tr>
        <w:tc>
          <w:tcPr>
            <w:tcW w:type="dxa" w:w="9866"/>
            <w:shd w:val="clear" w:color="auto" w:fill="FFF6E3"/>
          </w:tcPr>
          <w:p>
            <w:r/>
            <w:r>
              <w:rPr>
                <w:b w:val="0"/>
                <w:sz w:val="19"/>
              </w:rPr>
              <w:t>Bayrak, bu sayfadaki cetvelin oranlarıyla kodla çizilmiştir. Madde metinleri 2893 sayılı Türk Bayrağı Kanununun güncel metninden (mevzuat.gov.tr) alınmıştır.</w:t>
            </w:r>
          </w:p>
        </w:tc>
      </w:tr>
    </w:tbl>
    <w:p/>
    <w:p>
      <w:r>
        <w:rPr>
          <w:b w:val="0"/>
          <w:color w:val="4A5A64"/>
          <w:sz w:val="15"/>
        </w:rPr>
        <w:t>Bu belge Ders Pusulası tarafından hazırlanmış bir TASLAKTIR; okulunuzun idaresi ve güncel mevzuatla teyit ederek kullanınız. derspusulasi.com</w:t>
      </w:r>
    </w:p>
    <w:sectPr w:rsidR="00FC693F" w:rsidRPr="0006063C" w:rsidSect="00034616">
      <w:footerReference w:type="default" r:id="rId10"/>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4"/>
        <w:sz w:val="15"/>
      </w:rPr>
      <w:t>derspusulasi.com · Türk Bayrağı ve Kanundaki Ölçüleri (Öğretmen Dosyası)</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