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Yazılı Sınav Analiz Formu</w:t>
      </w:r>
    </w:p>
    <w:p>
      <w:pPr>
        <w:jc w:val="center"/>
      </w:pPr>
      <w:r>
        <w:rPr>
          <w:b/>
          <w:color w:val="4A5A64"/>
          <w:sz w:val="20"/>
        </w:rPr>
        <w:t>4. Sınıf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Sınav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Sınava Giren: </w:t>
            </w:r>
            <w:r>
              <w:rPr>
                <w:b w:val="0"/>
              </w:rPr>
              <w:t>…… öğrenci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Sınav: </w:t>
            </w:r>
            <w:r>
              <w:rPr>
                <w:b w:val="0"/>
              </w:rPr>
              <w:t>…… dönem …… yazılı</w:t>
            </w:r>
          </w:p>
        </w:tc>
        <w:tc>
          <w:tcPr>
            <w:tcW w:type="dxa" w:w="4933"/>
          </w:tcPr>
          <w:p/>
        </w:tc>
      </w:tr>
    </w:tbl>
    <w:p/>
    <w:p>
      <w:pPr>
        <w:spacing w:before="160"/>
      </w:pPr>
      <w:r>
        <w:rPr>
          <w:b/>
          <w:color w:val="0F766E"/>
          <w:sz w:val="25"/>
        </w:rPr>
        <w:t>Soru Analizi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Başarı yüzdesi = (soruyu tam cevaplayan öğrenci sayısı ÷ sınava giren öğrenci sayısı) × 100. Yüzdesi 50'nin altında kalan soruların kazanımı telafi planına yazılır.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78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Soru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 kodu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Soru puanı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Tam cevaplayan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Başarı %</w:t>
            </w:r>
          </w:p>
        </w:tc>
        <w:tc>
          <w:tcPr>
            <w:tcW w:type="dxa" w:w="315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789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789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789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789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789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789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789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789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789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789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789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789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3157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Sınıf Özeti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Sınıf ortalaması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En yüksek puan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En düşük puan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0-49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50-69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70-84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85-100</w:t>
            </w:r>
          </w:p>
        </w:tc>
      </w:tr>
      <w:tr>
        <w:tc>
          <w:tcPr>
            <w:tcW w:type="dxa" w:w="1776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</w:tr>
    </w:tbl>
    <w:p/>
    <w:p>
      <w:r>
        <w:rPr>
          <w:b/>
          <w:color w:val="0A5650"/>
        </w:rPr>
        <w:t>Başarısı düşük kazanımlar ve telafi planı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Ders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Yazılı Sınav Analiz Formu (4.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