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Müzik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Müzik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37 (ders 33 + okul temelli planlama 4)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saattir; tamamı okul temelli planlamaya ayrılan haftanın saati haftalık ders saati (1) kadardır. Okul temelli planlama haftaları: 17, 18, 36, 37.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Marşı’nın başlıca ögeleri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MÜZ.1.1.1: İstiklâl Marşı’nın başlıca ögelerini çözümleyebilme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Marşı’nın başlıca ögeleri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MÜZ.1.1.1: İstiklâl Marşı’nın başlıca ögelerini çözümleyebilme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MÜZ.1.1.2: Doğadan/çevreden/nesnelerden duyulan seslerin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sesler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MÜZ.1.1.2: Doğadan/çevreden/nesnelerden duyulan seslerin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Müziksel dinleme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MÜZ.1.1.3: Müziksel dinleyebilme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MÜZ.1.1.7: Müzik eserlerine bedensel hareketlerle eşlik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MÜZ.1.1.7: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dinleme/söyleme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MÜZ.1.2.1: Müzik dinleme/söyleme kurallarını çözümleyebilme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dinleme/söyleme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MÜZ.1.2.1: Müzik dinleme/söyleme kurallarını çözümleyebilme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dinleme/söyleme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MÜZ.1.2.1: Müzik dinleme/söyleme kurallarını çözümleyebilme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Ritim veren vurmalı 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MÜZ.1.2.2: Ritim veren vurmalı çalgıların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Ritim veren vurmalı çalgılar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MÜZ.1.2.2: Ritim veren vurmalı çalgıların özelliklerini karşılaştırabilme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MÜZ.1.2.4: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MÜZ.1.2.5: Ortak repertuvardaki eserleri söyleyebilme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MÜZ.1.2.4: Belirli gün ve haftalarla ilgili eserleri söyleyebilme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MÜZ.1.2.6: Müzik eserlerine bedensel hareketlerle eşlik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Okul temelli planlama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1. Sınıf Müzik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